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附件：</w:t>
      </w:r>
    </w:p>
    <w:p>
      <w:pPr>
        <w:pStyle w:val="2"/>
        <w:jc w:val="center"/>
        <w:rPr>
          <w:rFonts w:ascii="仿宋" w:hAnsi="仿宋" w:eastAsia="仿宋"/>
        </w:rPr>
      </w:pPr>
      <w:bookmarkStart w:id="0" w:name="_GoBack"/>
      <w:r>
        <w:rPr>
          <w:rFonts w:hint="eastAsia" w:ascii="仿宋" w:hAnsi="仿宋" w:eastAsia="仿宋"/>
        </w:rPr>
        <w:t>中小企业数字化创新发展研修班课程表</w:t>
      </w:r>
    </w:p>
    <w:bookmarkEnd w:id="0"/>
    <w:tbl>
      <w:tblPr>
        <w:tblStyle w:val="3"/>
        <w:tblW w:w="5142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536"/>
        <w:gridCol w:w="1105"/>
        <w:gridCol w:w="2781"/>
        <w:gridCol w:w="25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pct"/>
            <w:gridSpan w:val="2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时间</w:t>
            </w:r>
          </w:p>
        </w:tc>
        <w:tc>
          <w:tcPr>
            <w:tcW w:w="700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课程名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称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/访学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安排</w:t>
            </w:r>
          </w:p>
        </w:tc>
        <w:tc>
          <w:tcPr>
            <w:tcW w:w="1656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主要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教学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内容</w:t>
            </w:r>
          </w:p>
        </w:tc>
        <w:tc>
          <w:tcPr>
            <w:tcW w:w="1518" w:type="pct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讲师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527" w:type="pct"/>
            <w:vMerge w:val="restart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0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月1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4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599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上午9: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00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-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11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0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签到</w:t>
            </w:r>
          </w:p>
        </w:tc>
        <w:tc>
          <w:tcPr>
            <w:tcW w:w="1656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27" w:type="pct"/>
            <w:vMerge w:val="continue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下午1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4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00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-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17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0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沙盘破冰</w:t>
            </w:r>
          </w:p>
        </w:tc>
        <w:tc>
          <w:tcPr>
            <w:tcW w:w="1656" w:type="pct"/>
            <w:shd w:val="clear" w:color="auto" w:fill="auto"/>
          </w:tcPr>
          <w:p>
            <w:pPr>
              <w:spacing w:line="560" w:lineRule="exact"/>
              <w:jc w:val="left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沙盘游戏，了解合作共赢的思维，促进学员的交流互动</w:t>
            </w:r>
          </w:p>
        </w:tc>
        <w:tc>
          <w:tcPr>
            <w:tcW w:w="1518" w:type="pct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000000"/>
                <w:sz w:val="24"/>
                <w:szCs w:val="24"/>
              </w:rPr>
              <w:t>李罡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7" w:type="pct"/>
            <w:vMerge w:val="restart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0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月1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5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599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上午9: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00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-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11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0" w:type="pct"/>
            <w:shd w:val="clear" w:color="auto" w:fill="auto"/>
          </w:tcPr>
          <w:p>
            <w:pPr>
              <w:snapToGrid w:val="0"/>
              <w:spacing w:line="520" w:lineRule="atLeas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创新的十八般武艺</w:t>
            </w:r>
          </w:p>
        </w:tc>
        <w:tc>
          <w:tcPr>
            <w:tcW w:w="1656" w:type="pct"/>
            <w:shd w:val="clear" w:color="auto" w:fill="auto"/>
          </w:tcPr>
          <w:p>
            <w:pPr>
              <w:snapToGrid w:val="0"/>
              <w:spacing w:line="520" w:lineRule="atLeast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企业战略：技术经济发展的规律:智能经济进化论</w:t>
            </w:r>
          </w:p>
          <w:p>
            <w:pPr>
              <w:snapToGrid w:val="0"/>
              <w:spacing w:line="520" w:lineRule="atLeast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企业文化：战斗型企业文化分析（华为案例分析）</w:t>
            </w:r>
          </w:p>
          <w:p>
            <w:pPr>
              <w:snapToGrid w:val="0"/>
              <w:spacing w:line="520" w:lineRule="atLeast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人力资源管理：阿米巴组织架构实施案例（京瓷等案例）</w:t>
            </w:r>
          </w:p>
          <w:p>
            <w:pPr>
              <w:snapToGrid w:val="0"/>
              <w:spacing w:line="520" w:lineRule="atLeast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企业信息化：智慧企业建设方法（含企业案例）</w:t>
            </w:r>
          </w:p>
        </w:tc>
        <w:tc>
          <w:tcPr>
            <w:tcW w:w="1518" w:type="pct"/>
            <w:vAlign w:val="center"/>
          </w:tcPr>
          <w:p>
            <w:pPr>
              <w:snapToGrid w:val="0"/>
              <w:spacing w:line="520" w:lineRule="atLeas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唐怀坤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7" w:type="pct"/>
            <w:vMerge w:val="continue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下午1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4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00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-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17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0" w:type="pct"/>
            <w:shd w:val="clear" w:color="auto" w:fill="auto"/>
          </w:tcPr>
          <w:p>
            <w:pPr>
              <w:snapToGrid w:val="0"/>
              <w:spacing w:line="520" w:lineRule="atLeas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创新的十八般武艺</w:t>
            </w:r>
          </w:p>
        </w:tc>
        <w:tc>
          <w:tcPr>
            <w:tcW w:w="1656" w:type="pct"/>
            <w:shd w:val="clear" w:color="auto" w:fill="auto"/>
          </w:tcPr>
          <w:p>
            <w:pPr>
              <w:snapToGrid w:val="0"/>
              <w:spacing w:line="520" w:lineRule="atLeast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5G机会：新基建5G的垂直应用领域企业商机</w:t>
            </w:r>
          </w:p>
          <w:p>
            <w:pPr>
              <w:snapToGrid w:val="0"/>
              <w:spacing w:line="520" w:lineRule="atLeast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智慧城市机会：新基建智慧城市发展路径与企业商机</w:t>
            </w:r>
          </w:p>
          <w:p>
            <w:pPr>
              <w:snapToGrid w:val="0"/>
              <w:spacing w:line="520" w:lineRule="atLeast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工业互联网机会：新基建工业互联网演进过程中的企业商机</w:t>
            </w:r>
          </w:p>
          <w:p>
            <w:pPr>
              <w:snapToGrid w:val="0"/>
              <w:spacing w:line="520" w:lineRule="atLeast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人工智能机会：新基建人工智能发展路径与商机分析</w:t>
            </w:r>
          </w:p>
        </w:tc>
        <w:tc>
          <w:tcPr>
            <w:tcW w:w="1518" w:type="pct"/>
            <w:vAlign w:val="center"/>
          </w:tcPr>
          <w:p>
            <w:pPr>
              <w:snapToGrid w:val="0"/>
              <w:spacing w:line="520" w:lineRule="atLeas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唐怀坤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7" w:type="pct"/>
            <w:vMerge w:val="restart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0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月1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6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599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上午9: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00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-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11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0" w:type="pct"/>
            <w:shd w:val="clear" w:color="auto" w:fill="auto"/>
          </w:tcPr>
          <w:p>
            <w:pPr>
              <w:snapToGrid w:val="0"/>
              <w:spacing w:line="520" w:lineRule="atLeas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创新的十八般武艺</w:t>
            </w:r>
          </w:p>
        </w:tc>
        <w:tc>
          <w:tcPr>
            <w:tcW w:w="1656" w:type="pct"/>
            <w:shd w:val="clear" w:color="auto" w:fill="auto"/>
          </w:tcPr>
          <w:p>
            <w:pPr>
              <w:snapToGrid w:val="0"/>
              <w:spacing w:line="520" w:lineRule="atLeast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企业创新生态系统：清华大学技术创新研究中心企业创新生态系统方法</w:t>
            </w:r>
          </w:p>
          <w:p>
            <w:pPr>
              <w:snapToGrid w:val="0"/>
              <w:spacing w:line="520" w:lineRule="atLeast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技术管理体系：1T3M技术创新管理体系</w:t>
            </w:r>
          </w:p>
          <w:p>
            <w:pPr>
              <w:snapToGrid w:val="0"/>
              <w:spacing w:line="520" w:lineRule="atLeast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研发管理：前后中后台联动的研发管理方法</w:t>
            </w:r>
          </w:p>
          <w:p>
            <w:pPr>
              <w:snapToGrid w:val="0"/>
              <w:spacing w:line="520" w:lineRule="atLeast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知识管理：企业知识管理三层进阶</w:t>
            </w:r>
          </w:p>
        </w:tc>
        <w:tc>
          <w:tcPr>
            <w:tcW w:w="1518" w:type="pct"/>
            <w:vAlign w:val="center"/>
          </w:tcPr>
          <w:p>
            <w:pPr>
              <w:snapToGrid w:val="0"/>
              <w:spacing w:line="520" w:lineRule="atLeas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唐怀坤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7" w:type="pct"/>
            <w:vMerge w:val="continue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下午1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4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00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-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17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0" w:type="pct"/>
            <w:shd w:val="clear" w:color="auto" w:fill="auto"/>
          </w:tcPr>
          <w:p>
            <w:pPr>
              <w:snapToGrid w:val="0"/>
              <w:spacing w:line="520" w:lineRule="atLeas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创新的十八般武艺</w:t>
            </w:r>
          </w:p>
        </w:tc>
        <w:tc>
          <w:tcPr>
            <w:tcW w:w="1656" w:type="pct"/>
            <w:shd w:val="clear" w:color="auto" w:fill="auto"/>
          </w:tcPr>
          <w:p>
            <w:pPr>
              <w:snapToGrid w:val="0"/>
              <w:spacing w:line="520" w:lineRule="atLeast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技术品牌管理：技术品牌推广渠道与方法</w:t>
            </w:r>
          </w:p>
          <w:p>
            <w:pPr>
              <w:snapToGrid w:val="0"/>
              <w:spacing w:line="520" w:lineRule="atLeast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技术创新方法1：熊彼得：破坏式创新</w:t>
            </w:r>
          </w:p>
          <w:p>
            <w:pPr>
              <w:snapToGrid w:val="0"/>
              <w:spacing w:line="520" w:lineRule="atLeast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技术创新方法2</w:t>
            </w:r>
            <w:r>
              <w:rPr>
                <w:rFonts w:hint="eastAsia" w:ascii="仿宋" w:hAnsi="仿宋" w:eastAsia="仿宋"/>
                <w:sz w:val="24"/>
                <w:szCs w:val="24"/>
              </w:rPr>
              <w:tab/>
            </w:r>
            <w:r>
              <w:rPr>
                <w:rFonts w:hint="eastAsia" w:ascii="仿宋" w:hAnsi="仿宋" w:eastAsia="仿宋"/>
                <w:sz w:val="24"/>
                <w:szCs w:val="24"/>
              </w:rPr>
              <w:t>:TRIZ创造发明的内在规律和原理</w:t>
            </w:r>
          </w:p>
          <w:p>
            <w:pPr>
              <w:snapToGrid w:val="0"/>
              <w:spacing w:line="520" w:lineRule="atLeast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技术创新方法3:非对称创新</w:t>
            </w:r>
          </w:p>
          <w:p>
            <w:pPr>
              <w:snapToGrid w:val="0"/>
              <w:spacing w:line="520" w:lineRule="atLeast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技术创新方法4:产学研协同创新</w:t>
            </w:r>
          </w:p>
        </w:tc>
        <w:tc>
          <w:tcPr>
            <w:tcW w:w="1518" w:type="pct"/>
            <w:vAlign w:val="center"/>
          </w:tcPr>
          <w:p>
            <w:pPr>
              <w:snapToGrid w:val="0"/>
              <w:spacing w:line="520" w:lineRule="atLeas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唐怀坤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7" w:type="pct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0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月1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7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599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上午9: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00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-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11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0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宏观经济分析</w:t>
            </w:r>
          </w:p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当前税收政策改革对企业的影响</w:t>
            </w:r>
          </w:p>
          <w:p>
            <w:pPr>
              <w:snapToGrid w:val="0"/>
              <w:spacing w:line="520" w:lineRule="atLeas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中小企业扶持政策解读</w:t>
            </w:r>
          </w:p>
        </w:tc>
        <w:tc>
          <w:tcPr>
            <w:tcW w:w="1656" w:type="pct"/>
            <w:shd w:val="clear" w:color="auto" w:fill="auto"/>
          </w:tcPr>
          <w:p>
            <w:pPr>
              <w:snapToGrid w:val="0"/>
              <w:spacing w:line="520" w:lineRule="atLeast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树立战略意识，理解当前行业环境，深刻理解国家经济政策；</w:t>
            </w:r>
          </w:p>
          <w:p>
            <w:pPr>
              <w:snapToGrid w:val="0"/>
              <w:spacing w:line="520" w:lineRule="atLeast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新冠状病毒肺炎疫情对中国经济的影响、当下各级政府的应对举措、当下财政的困境和未来财政政策的对策思路。</w:t>
            </w:r>
          </w:p>
          <w:p>
            <w:pPr>
              <w:snapToGrid w:val="0"/>
              <w:spacing w:line="520" w:lineRule="atLeast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"国家政策解读</w:t>
            </w:r>
          </w:p>
          <w:p>
            <w:pPr>
              <w:snapToGrid w:val="0"/>
              <w:spacing w:line="520" w:lineRule="atLeast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江苏省地域政策解读"</w:t>
            </w:r>
          </w:p>
        </w:tc>
        <w:tc>
          <w:tcPr>
            <w:tcW w:w="1518" w:type="pct"/>
            <w:vAlign w:val="center"/>
          </w:tcPr>
          <w:p>
            <w:pPr>
              <w:snapToGrid w:val="0"/>
              <w:spacing w:line="520" w:lineRule="atLeas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吴小康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7" w:type="pct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下午1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4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00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-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17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0" w:type="pct"/>
            <w:shd w:val="clear" w:color="auto" w:fill="auto"/>
          </w:tcPr>
          <w:p>
            <w:pPr>
              <w:snapToGrid w:val="0"/>
              <w:spacing w:line="520" w:lineRule="atLeas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数字化新技术对中小企业的影响</w:t>
            </w:r>
          </w:p>
        </w:tc>
        <w:tc>
          <w:tcPr>
            <w:tcW w:w="1656" w:type="pct"/>
            <w:shd w:val="clear" w:color="auto" w:fill="auto"/>
          </w:tcPr>
          <w:p>
            <w:pPr>
              <w:snapToGrid w:val="0"/>
              <w:spacing w:line="520" w:lineRule="atLeast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5G、车联网、工业互联网、云计算、大数据等数字化新技术对中小企业业务的影响；</w:t>
            </w:r>
          </w:p>
        </w:tc>
        <w:tc>
          <w:tcPr>
            <w:tcW w:w="1518" w:type="pct"/>
            <w:vAlign w:val="center"/>
          </w:tcPr>
          <w:p>
            <w:pPr>
              <w:snapToGrid w:val="0"/>
              <w:spacing w:line="520" w:lineRule="atLeas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孙叶飞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7" w:type="pct"/>
            <w:vMerge w:val="restart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hint="eastAsia"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0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月1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8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599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上午9: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00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-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11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0" w:type="pct"/>
            <w:shd w:val="clear" w:color="auto" w:fill="auto"/>
          </w:tcPr>
          <w:p>
            <w:pPr>
              <w:snapToGrid w:val="0"/>
              <w:spacing w:line="520" w:lineRule="atLeas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企业参访</w:t>
            </w:r>
          </w:p>
        </w:tc>
        <w:tc>
          <w:tcPr>
            <w:tcW w:w="1656" w:type="pct"/>
            <w:shd w:val="clear" w:color="auto" w:fill="auto"/>
          </w:tcPr>
          <w:p>
            <w:pPr>
              <w:snapToGrid w:val="0"/>
              <w:spacing w:line="520" w:lineRule="atLeast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展厅参观：</w:t>
            </w:r>
          </w:p>
          <w:p>
            <w:pPr>
              <w:snapToGrid w:val="0"/>
              <w:spacing w:line="520" w:lineRule="atLeast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扬州班：泰州电信信息化展厅参访</w:t>
            </w:r>
          </w:p>
        </w:tc>
        <w:tc>
          <w:tcPr>
            <w:tcW w:w="1518" w:type="pct"/>
            <w:vAlign w:val="center"/>
          </w:tcPr>
          <w:p>
            <w:pPr>
              <w:snapToGrid w:val="0"/>
              <w:spacing w:line="520" w:lineRule="atLeas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展厅讲解人员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7" w:type="pct"/>
            <w:vMerge w:val="continue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下午1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4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00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-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17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:</w:t>
            </w:r>
            <w:r>
              <w:rPr>
                <w:rFonts w:ascii="仿宋" w:hAnsi="仿宋" w:eastAsia="仿宋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0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返程</w:t>
            </w:r>
          </w:p>
        </w:tc>
        <w:tc>
          <w:tcPr>
            <w:tcW w:w="1656" w:type="pct"/>
            <w:shd w:val="clear" w:color="auto" w:fill="auto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  <w:tc>
          <w:tcPr>
            <w:tcW w:w="1518" w:type="pct"/>
          </w:tcPr>
          <w:p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4"/>
                <w:szCs w:val="24"/>
              </w:rPr>
            </w:pPr>
          </w:p>
        </w:tc>
      </w:tr>
    </w:tbl>
    <w:p>
      <w:pPr>
        <w:widowControl/>
        <w:jc w:val="center"/>
        <w:rPr>
          <w:rFonts w:ascii="仿宋" w:hAnsi="仿宋" w:eastAsia="仿宋"/>
        </w:rPr>
      </w:pPr>
      <w:r>
        <w:drawing>
          <wp:inline distT="0" distB="0" distL="0" distR="0">
            <wp:extent cx="1753235" cy="2222500"/>
            <wp:effectExtent l="0" t="0" r="184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9238" cy="224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孙叶飞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TK_engine创始人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南京大学客座教授、大学生众创空间导师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南京邮电大学“卓越工程师”培养导师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江苏省医院协会互联网+医疗服务专委会特约讲师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樊登读书会/书课南京分会翻转顾问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江苏经信委《数字企业》首席讲师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</w:p>
    <w:p>
      <w:pPr>
        <w:widowControl/>
        <w:jc w:val="center"/>
        <w:rPr>
          <w:rFonts w:hint="eastAsia"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2542540" cy="2566670"/>
            <wp:effectExtent l="0" t="0" r="1016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t>吴小康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t>南京大学中美文化研究中心助理教授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t>南京大学亚太</w:t>
      </w:r>
      <w:r>
        <w:rPr>
          <w:rFonts w:hint="eastAsia" w:ascii="仿宋" w:hAnsi="仿宋" w:eastAsia="仿宋"/>
          <w:sz w:val="24"/>
          <w:szCs w:val="28"/>
        </w:rPr>
        <w:t>研</w:t>
      </w:r>
      <w:r>
        <w:rPr>
          <w:rFonts w:ascii="仿宋" w:hAnsi="仿宋" w:eastAsia="仿宋"/>
          <w:sz w:val="24"/>
          <w:szCs w:val="28"/>
        </w:rPr>
        <w:t>究中心研究员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1.</w:t>
      </w:r>
      <w:r>
        <w:rPr>
          <w:rFonts w:hint="eastAsia" w:ascii="仿宋" w:hAnsi="仿宋" w:eastAsia="仿宋"/>
          <w:sz w:val="24"/>
          <w:szCs w:val="28"/>
        </w:rPr>
        <w:tab/>
      </w:r>
      <w:r>
        <w:rPr>
          <w:rFonts w:hint="eastAsia" w:ascii="仿宋" w:hAnsi="仿宋" w:eastAsia="仿宋"/>
          <w:sz w:val="24"/>
          <w:szCs w:val="28"/>
        </w:rPr>
        <w:t>教育部人文社会科学青年基金项目“提高FTA利用率的路径研究”。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2.</w:t>
      </w:r>
      <w:r>
        <w:rPr>
          <w:rFonts w:hint="eastAsia" w:ascii="仿宋" w:hAnsi="仿宋" w:eastAsia="仿宋"/>
          <w:sz w:val="24"/>
          <w:szCs w:val="28"/>
        </w:rPr>
        <w:tab/>
      </w:r>
      <w:r>
        <w:rPr>
          <w:rFonts w:hint="eastAsia" w:ascii="仿宋" w:hAnsi="仿宋" w:eastAsia="仿宋"/>
          <w:sz w:val="24"/>
          <w:szCs w:val="28"/>
        </w:rPr>
        <w:t>国家自然科学基金青年项目“GVC视角下的最适FTA优惠原产地规则研究”。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3.</w:t>
      </w:r>
      <w:r>
        <w:rPr>
          <w:rFonts w:hint="eastAsia" w:ascii="仿宋" w:hAnsi="仿宋" w:eastAsia="仿宋"/>
          <w:sz w:val="24"/>
          <w:szCs w:val="28"/>
        </w:rPr>
        <w:tab/>
      </w:r>
      <w:r>
        <w:rPr>
          <w:rFonts w:hint="eastAsia" w:ascii="仿宋" w:hAnsi="仿宋" w:eastAsia="仿宋"/>
          <w:sz w:val="24"/>
          <w:szCs w:val="28"/>
        </w:rPr>
        <w:t>国家社科基金项目“依托战略性新兴产业加快长三角转变经济发展方式问题研究”</w:t>
      </w:r>
    </w:p>
    <w:p>
      <w:pPr>
        <w:widowControl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>
      <w:pPr>
        <w:widowControl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2440305" cy="1895475"/>
            <wp:effectExtent l="0" t="0" r="1714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357" cy="194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唐怀坤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拥有发明专利1项、实用新型专利2项、国家级奖项1项、省部级奖项3项、市级奖项5项。主创《1T3M科技创新管理体系》获得2018全国企业管理创新奖，《基于人工智能的全过程咨询设计管理》获得2018江苏省管理创新一等奖。提出“知识管理五层金字塔结构”并开发出相应信息平台，提出“技术经济ROSE模型”，并擅长将具体行业导入ROSE模型进行发展趋势分析。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</w:p>
    <w:p>
      <w:pPr>
        <w:widowControl/>
        <w:jc w:val="center"/>
        <w:rPr>
          <w:rFonts w:hint="eastAsia" w:ascii="仿宋" w:hAnsi="仿宋" w:eastAsia="仿宋"/>
          <w:sz w:val="24"/>
          <w:szCs w:val="28"/>
        </w:rPr>
      </w:pP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drawing>
          <wp:inline distT="0" distB="0" distL="0" distR="0">
            <wp:extent cx="2011680" cy="2018665"/>
            <wp:effectExtent l="0" t="0" r="762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258" cy="204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李罡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PTT国际专业培训师培训导师资格认证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国家级认证职业培训师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国家级认证人力资源管理师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国家注册高级EAP执行师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《九型人格(ENNEAGRAM)》课程导师认证</w:t>
      </w:r>
    </w:p>
    <w:p>
      <w:pPr>
        <w:widowControl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《结构性思维》课程认证讲师</w:t>
      </w:r>
    </w:p>
    <w:p>
      <w:pPr>
        <w:widowControl/>
        <w:jc w:val="center"/>
        <w:rPr>
          <w:rFonts w:hint="eastAsia" w:ascii="仿宋" w:hAnsi="仿宋" w:eastAsia="仿宋"/>
          <w:sz w:val="24"/>
          <w:szCs w:val="28"/>
        </w:rPr>
      </w:pPr>
      <w:r>
        <w:rPr>
          <w:rFonts w:hint="eastAsia" w:ascii="仿宋" w:hAnsi="仿宋" w:eastAsia="仿宋"/>
          <w:sz w:val="24"/>
          <w:szCs w:val="28"/>
        </w:rPr>
        <w:t>《五维教练领导力》课程认证讲师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2D2B91"/>
    <w:rsid w:val="312D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2020-09-30T02:36:00Z</dcterms:created>
  <dc:creator>xToNG.</dc:creator>
  <cp:lastModifiedBy>xToNG.</cp:lastModifiedBy>
  <dcterms:modified xsi:type="dcterms:W3CDTF">2020-09-30T02:39:54Z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