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1120" w:bottom="280" w:left="1020" w:header="720" w:footer="720" w:gutter="0"/>
        </w:sectPr>
      </w:pPr>
    </w:p>
    <w:p>
      <w:pPr>
        <w:spacing w:before="119"/>
        <w:ind w:left="965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 xml:space="preserve">附件 </w:t>
      </w:r>
      <w:r>
        <w:rPr>
          <w:rFonts w:ascii="Times New Roman" w:eastAsia="Times New Roman"/>
          <w:sz w:val="32"/>
        </w:rPr>
        <w:t>3</w:t>
      </w:r>
    </w:p>
    <w:p>
      <w:pPr>
        <w:pStyle w:val="2"/>
        <w:rPr>
          <w:rFonts w:ascii="Times New Roman"/>
          <w:sz w:val="50"/>
        </w:rPr>
      </w:pPr>
      <w:r>
        <w:br w:type="column"/>
      </w:r>
    </w:p>
    <w:p>
      <w:pPr>
        <w:spacing w:before="0"/>
        <w:ind w:left="965" w:right="0" w:firstLine="0"/>
        <w:jc w:val="left"/>
        <w:rPr>
          <w:sz w:val="44"/>
        </w:rPr>
      </w:pPr>
      <w:bookmarkStart w:id="0" w:name="_GoBack"/>
      <w:r>
        <w:rPr>
          <w:sz w:val="44"/>
        </w:rPr>
        <w:t>进口货物（冷链食品除外）信息报表</w:t>
      </w:r>
    </w:p>
    <w:bookmarkEnd w:id="0"/>
    <w:p>
      <w:pPr>
        <w:pStyle w:val="2"/>
        <w:tabs>
          <w:tab w:val="left" w:pos="8905"/>
          <w:tab w:val="left" w:pos="9742"/>
          <w:tab w:val="left" w:pos="10582"/>
        </w:tabs>
        <w:spacing w:before="26"/>
        <w:ind w:left="6804"/>
      </w:pPr>
      <w:r>
        <w:t>填表时</w:t>
      </w:r>
      <w:r>
        <w:rPr>
          <w:spacing w:val="-3"/>
        </w:rPr>
        <w:t>间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type w:val="continuous"/>
          <w:pgSz w:w="16840" w:h="11910" w:orient="landscape"/>
          <w:pgMar w:top="1100" w:right="1120" w:bottom="280" w:left="1020" w:header="720" w:footer="720" w:gutter="0"/>
          <w:cols w:equalWidth="0" w:num="2">
            <w:col w:w="1888" w:space="969"/>
            <w:col w:w="11843"/>
          </w:cols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38"/>
        <w:gridCol w:w="1115"/>
        <w:gridCol w:w="1419"/>
        <w:gridCol w:w="1417"/>
        <w:gridCol w:w="853"/>
        <w:gridCol w:w="992"/>
        <w:gridCol w:w="1278"/>
        <w:gridCol w:w="1720"/>
        <w:gridCol w:w="1400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9" w:type="dxa"/>
            <w:vMerge w:val="restart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227"/>
              <w:rPr>
                <w:sz w:val="24"/>
              </w:rPr>
            </w:pPr>
            <w:r>
              <w:rPr>
                <w:sz w:val="24"/>
              </w:rPr>
              <w:t>进口单位</w:t>
            </w:r>
          </w:p>
        </w:tc>
        <w:tc>
          <w:tcPr>
            <w:tcW w:w="1438" w:type="dxa"/>
            <w:vMerge w:val="restart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237"/>
              <w:rPr>
                <w:sz w:val="24"/>
              </w:rPr>
            </w:pPr>
            <w:r>
              <w:rPr>
                <w:sz w:val="24"/>
              </w:rPr>
              <w:t>货物名称</w:t>
            </w:r>
          </w:p>
        </w:tc>
        <w:tc>
          <w:tcPr>
            <w:tcW w:w="1115" w:type="dxa"/>
            <w:vMerge w:val="restart"/>
          </w:tcPr>
          <w:p>
            <w:pPr>
              <w:pStyle w:val="7"/>
              <w:spacing w:before="84" w:line="333" w:lineRule="auto"/>
              <w:ind w:left="316" w:right="188" w:hanging="120"/>
              <w:rPr>
                <w:sz w:val="24"/>
              </w:rPr>
            </w:pPr>
            <w:r>
              <w:rPr>
                <w:sz w:val="24"/>
              </w:rPr>
              <w:t>规格与数量</w:t>
            </w:r>
          </w:p>
        </w:tc>
        <w:tc>
          <w:tcPr>
            <w:tcW w:w="1419" w:type="dxa"/>
            <w:vMerge w:val="restart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226"/>
              <w:rPr>
                <w:sz w:val="24"/>
              </w:rPr>
            </w:pPr>
            <w:r>
              <w:rPr>
                <w:sz w:val="24"/>
              </w:rPr>
              <w:t>抵扬时间</w:t>
            </w:r>
          </w:p>
        </w:tc>
        <w:tc>
          <w:tcPr>
            <w:tcW w:w="1417" w:type="dxa"/>
            <w:vMerge w:val="restart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225"/>
              <w:rPr>
                <w:sz w:val="24"/>
              </w:rPr>
            </w:pPr>
            <w:r>
              <w:rPr>
                <w:sz w:val="24"/>
              </w:rPr>
              <w:t>存放地址</w:t>
            </w:r>
          </w:p>
        </w:tc>
        <w:tc>
          <w:tcPr>
            <w:tcW w:w="1845" w:type="dxa"/>
            <w:gridSpan w:val="2"/>
          </w:tcPr>
          <w:p>
            <w:pPr>
              <w:pStyle w:val="7"/>
              <w:spacing w:before="39"/>
              <w:ind w:left="318"/>
              <w:rPr>
                <w:sz w:val="24"/>
              </w:rPr>
            </w:pPr>
            <w:r>
              <w:rPr>
                <w:sz w:val="24"/>
              </w:rPr>
              <w:t>企业联系人</w:t>
            </w:r>
          </w:p>
        </w:tc>
        <w:tc>
          <w:tcPr>
            <w:tcW w:w="1278" w:type="dxa"/>
            <w:vMerge w:val="restart"/>
          </w:tcPr>
          <w:p>
            <w:pPr>
              <w:pStyle w:val="7"/>
              <w:spacing w:before="84" w:line="333" w:lineRule="auto"/>
              <w:ind w:left="393" w:right="152" w:hanging="240"/>
              <w:rPr>
                <w:sz w:val="24"/>
              </w:rPr>
            </w:pPr>
            <w:r>
              <w:rPr>
                <w:sz w:val="24"/>
              </w:rPr>
              <w:t>消毒开展方式</w:t>
            </w:r>
          </w:p>
        </w:tc>
        <w:tc>
          <w:tcPr>
            <w:tcW w:w="1720" w:type="dxa"/>
            <w:vMerge w:val="restart"/>
          </w:tcPr>
          <w:p>
            <w:pPr>
              <w:pStyle w:val="7"/>
              <w:spacing w:before="84" w:line="333" w:lineRule="auto"/>
              <w:ind w:left="494" w:right="134" w:hanging="361"/>
              <w:rPr>
                <w:sz w:val="24"/>
              </w:rPr>
            </w:pPr>
            <w:r>
              <w:rPr>
                <w:sz w:val="24"/>
              </w:rPr>
              <w:t>第三方检测机构名称</w:t>
            </w:r>
          </w:p>
        </w:tc>
        <w:tc>
          <w:tcPr>
            <w:tcW w:w="2820" w:type="dxa"/>
            <w:gridSpan w:val="2"/>
          </w:tcPr>
          <w:p>
            <w:pPr>
              <w:pStyle w:val="7"/>
              <w:spacing w:before="39"/>
              <w:ind w:left="919"/>
              <w:rPr>
                <w:sz w:val="24"/>
              </w:rPr>
            </w:pPr>
            <w:r>
              <w:rPr>
                <w:sz w:val="24"/>
              </w:rPr>
              <w:t>核酸检测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7"/>
              <w:spacing w:before="7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2" w:type="dxa"/>
          </w:tcPr>
          <w:p>
            <w:pPr>
              <w:pStyle w:val="7"/>
              <w:spacing w:before="79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2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7"/>
              <w:spacing w:before="79"/>
              <w:ind w:left="211"/>
              <w:rPr>
                <w:sz w:val="24"/>
              </w:rPr>
            </w:pPr>
            <w:r>
              <w:rPr>
                <w:sz w:val="24"/>
              </w:rPr>
              <w:t>检测编号</w:t>
            </w:r>
          </w:p>
        </w:tc>
        <w:tc>
          <w:tcPr>
            <w:tcW w:w="1420" w:type="dxa"/>
          </w:tcPr>
          <w:p>
            <w:pPr>
              <w:pStyle w:val="7"/>
              <w:spacing w:before="79"/>
              <w:ind w:left="201" w:right="208"/>
              <w:jc w:val="center"/>
              <w:rPr>
                <w:sz w:val="24"/>
              </w:rPr>
            </w:pPr>
            <w:r>
              <w:rPr>
                <w:sz w:val="24"/>
              </w:rPr>
              <w:t>检测结果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19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595" w:right="5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438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608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115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447" w:right="4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419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591" w:right="5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417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597" w:right="5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853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160" w:right="1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992" w:type="dxa"/>
          </w:tcPr>
          <w:p>
            <w:pPr>
              <w:pStyle w:val="7"/>
              <w:spacing w:before="6"/>
              <w:rPr>
                <w:sz w:val="23"/>
              </w:rPr>
            </w:pPr>
          </w:p>
          <w:p>
            <w:pPr>
              <w:pStyle w:val="7"/>
              <w:ind w:left="231" w:right="2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</w:t>
            </w:r>
          </w:p>
        </w:tc>
        <w:tc>
          <w:tcPr>
            <w:tcW w:w="1278" w:type="dxa"/>
          </w:tcPr>
          <w:p>
            <w:pPr>
              <w:pStyle w:val="7"/>
              <w:spacing w:before="38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自行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第三</w:t>
            </w:r>
          </w:p>
          <w:p>
            <w:pPr>
              <w:pStyle w:val="7"/>
              <w:spacing w:before="161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方名称</w:t>
            </w:r>
          </w:p>
        </w:tc>
        <w:tc>
          <w:tcPr>
            <w:tcW w:w="1720" w:type="dxa"/>
          </w:tcPr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spacing w:before="1"/>
              <w:ind w:left="253"/>
              <w:rPr>
                <w:sz w:val="24"/>
              </w:rPr>
            </w:pPr>
            <w:r>
              <w:rPr>
                <w:sz w:val="24"/>
              </w:rPr>
              <w:t>第三方名称</w:t>
            </w:r>
          </w:p>
        </w:tc>
        <w:tc>
          <w:tcPr>
            <w:tcW w:w="1400" w:type="dxa"/>
          </w:tcPr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企业不填</w:t>
            </w:r>
          </w:p>
        </w:tc>
        <w:tc>
          <w:tcPr>
            <w:tcW w:w="1420" w:type="dxa"/>
          </w:tcPr>
          <w:p>
            <w:pPr>
              <w:pStyle w:val="7"/>
              <w:spacing w:before="12"/>
              <w:rPr>
                <w:sz w:val="18"/>
              </w:rPr>
            </w:pPr>
          </w:p>
          <w:p>
            <w:pPr>
              <w:pStyle w:val="7"/>
              <w:spacing w:before="1"/>
              <w:ind w:left="201" w:right="208"/>
              <w:jc w:val="center"/>
              <w:rPr>
                <w:sz w:val="24"/>
              </w:rPr>
            </w:pPr>
            <w:r>
              <w:rPr>
                <w:sz w:val="24"/>
              </w:rPr>
              <w:t>企业不填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3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1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line="396" w:lineRule="exact"/>
        <w:ind w:left="965"/>
      </w:pPr>
      <w:r>
        <w:t>备注：</w:t>
      </w:r>
    </w:p>
    <w:p>
      <w:pPr>
        <w:pStyle w:val="2"/>
        <w:spacing w:line="401" w:lineRule="exact"/>
        <w:ind w:left="965"/>
      </w:pPr>
      <w:r>
        <w:rPr>
          <w:rFonts w:ascii="Times New Roman" w:eastAsia="Times New Roman"/>
        </w:rPr>
        <w:t>1</w:t>
      </w:r>
      <w:r>
        <w:t>、企业需填写除核酸检测项目以外的信息并报送属地冷链防控组。</w:t>
      </w:r>
    </w:p>
    <w:p>
      <w:pPr>
        <w:pStyle w:val="2"/>
        <w:spacing w:before="17" w:line="196" w:lineRule="auto"/>
        <w:ind w:left="965" w:right="901"/>
      </w:pPr>
      <w:r>
        <w:rPr>
          <w:rFonts w:ascii="Times New Roman" w:eastAsia="Times New Roman"/>
        </w:rPr>
        <w:t>2</w:t>
      </w:r>
      <w:r>
        <w:t xml:space="preserve">、各地冷链防控组于每个工作日下午 </w:t>
      </w:r>
      <w:r>
        <w:rPr>
          <w:rFonts w:ascii="Times New Roman" w:eastAsia="Times New Roman"/>
        </w:rPr>
        <w:t xml:space="preserve">4:00 </w:t>
      </w:r>
      <w:r>
        <w:t>通报本地企业防控组与预防防控组，同时上报市指挥部冷链防控组。</w:t>
      </w:r>
    </w:p>
    <w:p>
      <w:pPr>
        <w:pStyle w:val="2"/>
        <w:spacing w:line="427" w:lineRule="exact"/>
        <w:ind w:left="965"/>
      </w:pPr>
      <w:r>
        <w:rPr>
          <w:rFonts w:ascii="Times New Roman" w:eastAsia="Times New Roman"/>
        </w:rPr>
        <w:t>3</w:t>
      </w:r>
      <w:r>
        <w:t xml:space="preserve">、各地预防控制组每 </w:t>
      </w:r>
      <w:r>
        <w:rPr>
          <w:rFonts w:ascii="Times New Roman" w:eastAsia="Times New Roman"/>
        </w:rPr>
        <w:t xml:space="preserve">2 </w:t>
      </w:r>
      <w:r>
        <w:t>天汇总一次核酸检测结果，报送至市预防控制组。</w:t>
      </w:r>
    </w:p>
    <w:p>
      <w:pPr>
        <w:pStyle w:val="2"/>
        <w:rPr>
          <w:sz w:val="20"/>
        </w:rPr>
      </w:pPr>
    </w:p>
    <w:p>
      <w:pPr>
        <w:pStyle w:val="2"/>
        <w:spacing w:before="14"/>
        <w:rPr>
          <w:sz w:val="27"/>
        </w:rPr>
      </w:pPr>
    </w:p>
    <w:p>
      <w:pPr>
        <w:pStyle w:val="2"/>
        <w:spacing w:before="89"/>
        <w:ind w:left="7023" w:right="7029"/>
        <w:jc w:val="center"/>
        <w:rPr>
          <w:rFonts w:ascii="Times New Roman"/>
        </w:rPr>
      </w:pPr>
      <w:r>
        <w:rPr>
          <w:rFonts w:ascii="Times New Roman"/>
        </w:rPr>
        <w:t>- 15 -</w:t>
      </w:r>
    </w:p>
    <w:sectPr>
      <w:type w:val="continuous"/>
      <w:pgSz w:w="16840" w:h="11910" w:orient="landscape"/>
      <w:pgMar w:top="1100" w:right="11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75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2021-03-16T09:50:00Z</dcterms:created>
  <dc:creator>PGOS</dc:creator>
  <cp:lastModifiedBy>xToNG.</cp:lastModifiedBy>
  <dcterms:modified xsi:type="dcterms:W3CDTF">2021-03-16T09:50:50Z</dcterms:modified>
  <dc:title>扬州市新型冠状病毒感染的肺炎疫情防控工作指挥部办公室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  <property fmtid="{D5CDD505-2E9C-101B-9397-08002B2CF9AE}" pid="5" name="KSOProductBuildVer">
    <vt:lpwstr>2052-11.1.0.10314</vt:lpwstr>
  </property>
</Properties>
</file>